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ascii="微软雅黑" w:hAnsi="微软雅黑" w:eastAsia="微软雅黑" w:cs="微软雅黑"/>
          <w:b/>
          <w:bCs/>
          <w:color w:val="333333"/>
          <w:sz w:val="43"/>
          <w:szCs w:val="43"/>
        </w:rPr>
      </w:pPr>
      <w:r>
        <w:rPr>
          <w:rFonts w:hint="eastAsia" w:ascii="微软雅黑" w:hAnsi="微软雅黑" w:eastAsia="微软雅黑" w:cs="微软雅黑"/>
          <w:b/>
          <w:bCs/>
          <w:color w:val="333333"/>
          <w:sz w:val="43"/>
          <w:szCs w:val="43"/>
          <w:bdr w:val="none" w:color="auto" w:sz="0" w:space="0"/>
        </w:rPr>
        <w:t>衡水市农业农村局推介发布2021年农业主导品种、主推技术和绿色技术模式</w:t>
      </w:r>
    </w:p>
    <w:p>
      <w:pPr>
        <w:keepNext w:val="0"/>
        <w:keepLines w:val="0"/>
        <w:widowControl/>
        <w:suppressLineNumbers w:val="0"/>
        <w:pBdr>
          <w:top w:val="none" w:color="auto" w:sz="0" w:space="0"/>
          <w:left w:val="none" w:color="auto" w:sz="0" w:space="0"/>
          <w:bottom w:val="single" w:color="E1E1E1" w:sz="6" w:space="11"/>
          <w:right w:val="none" w:color="auto" w:sz="0" w:space="0"/>
        </w:pBdr>
        <w:spacing w:before="600" w:beforeAutospacing="0" w:after="0" w:afterAutospacing="0"/>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color w:val="333333"/>
          <w:kern w:val="0"/>
          <w:sz w:val="22"/>
          <w:szCs w:val="22"/>
          <w:bdr w:val="none" w:color="auto" w:sz="0" w:space="0"/>
          <w:lang w:val="en-US" w:eastAsia="zh-CN" w:bidi="ar"/>
        </w:rPr>
        <w:t>发布日期：2021-08-09  10:48:32</w:t>
      </w:r>
      <w:r>
        <w:rPr>
          <w:rFonts w:hint="eastAsia" w:ascii="微软雅黑" w:hAnsi="微软雅黑" w:eastAsia="微软雅黑" w:cs="微软雅黑"/>
          <w:color w:val="333333"/>
          <w:kern w:val="0"/>
          <w:sz w:val="25"/>
          <w:szCs w:val="25"/>
          <w:bdr w:val="none" w:color="auto" w:sz="0" w:space="0"/>
          <w:lang w:val="en-US" w:eastAsia="zh-CN" w:bidi="ar"/>
        </w:rPr>
        <w:t> </w:t>
      </w:r>
      <w:r>
        <w:rPr>
          <w:rFonts w:hint="eastAsia" w:ascii="微软雅黑" w:hAnsi="微软雅黑" w:eastAsia="微软雅黑" w:cs="微软雅黑"/>
          <w:color w:val="333333"/>
          <w:kern w:val="0"/>
          <w:sz w:val="22"/>
          <w:szCs w:val="22"/>
          <w:bdr w:val="none" w:color="auto" w:sz="0" w:space="0"/>
          <w:lang w:val="en-US" w:eastAsia="zh-CN" w:bidi="ar"/>
        </w:rPr>
        <w:t>来源：</w:t>
      </w:r>
      <w:r>
        <w:rPr>
          <w:rFonts w:hint="eastAsia" w:ascii="微软雅黑" w:hAnsi="微软雅黑" w:eastAsia="微软雅黑" w:cs="微软雅黑"/>
          <w:color w:val="333333"/>
          <w:kern w:val="0"/>
          <w:sz w:val="25"/>
          <w:szCs w:val="25"/>
          <w:bdr w:val="none" w:color="auto" w:sz="0" w:space="0"/>
          <w:lang w:val="en-US" w:eastAsia="zh-CN" w:bidi="ar"/>
        </w:rPr>
        <w:t> </w:t>
      </w:r>
      <w:r>
        <w:rPr>
          <w:rFonts w:hint="eastAsia" w:ascii="微软雅黑" w:hAnsi="微软雅黑" w:eastAsia="微软雅黑" w:cs="微软雅黑"/>
          <w:color w:val="333333"/>
          <w:kern w:val="0"/>
          <w:sz w:val="22"/>
          <w:szCs w:val="22"/>
          <w:bdr w:val="none" w:color="auto" w:sz="0" w:space="0"/>
          <w:lang w:val="en-US" w:eastAsia="zh-CN" w:bidi="ar"/>
        </w:rPr>
        <w:t>浏览次数：75</w:t>
      </w:r>
      <w:r>
        <w:rPr>
          <w:rFonts w:hint="eastAsia" w:ascii="微软雅黑" w:hAnsi="微软雅黑" w:eastAsia="微软雅黑" w:cs="微软雅黑"/>
          <w:color w:val="333333"/>
          <w:kern w:val="0"/>
          <w:sz w:val="25"/>
          <w:szCs w:val="25"/>
          <w:bdr w:val="none" w:color="auto" w:sz="0" w:space="0"/>
          <w:lang w:val="en-US" w:eastAsia="zh-CN" w:bidi="ar"/>
        </w:rPr>
        <w:t> </w:t>
      </w:r>
      <w:r>
        <w:rPr>
          <w:rFonts w:hint="eastAsia" w:ascii="微软雅黑" w:hAnsi="微软雅黑" w:eastAsia="微软雅黑" w:cs="微软雅黑"/>
          <w:color w:val="333333"/>
          <w:kern w:val="0"/>
          <w:sz w:val="22"/>
          <w:szCs w:val="22"/>
          <w:bdr w:val="none" w:color="auto" w:sz="0" w:space="0"/>
          <w:lang w:val="en-US" w:eastAsia="zh-CN" w:bidi="ar"/>
        </w:rPr>
        <w:t>字体：[</w:t>
      </w:r>
      <w:r>
        <w:rPr>
          <w:rFonts w:hint="eastAsia" w:ascii="微软雅黑" w:hAnsi="微软雅黑" w:eastAsia="微软雅黑" w:cs="微软雅黑"/>
          <w:color w:val="333333"/>
          <w:kern w:val="0"/>
          <w:sz w:val="22"/>
          <w:szCs w:val="22"/>
          <w:u w:val="none"/>
          <w:bdr w:val="none" w:color="auto" w:sz="0" w:space="0"/>
          <w:lang w:val="en-US" w:eastAsia="zh-CN" w:bidi="ar"/>
        </w:rPr>
        <w:t>大</w:t>
      </w:r>
      <w:r>
        <w:rPr>
          <w:rFonts w:hint="eastAsia" w:ascii="微软雅黑" w:hAnsi="微软雅黑" w:eastAsia="微软雅黑" w:cs="微软雅黑"/>
          <w:color w:val="333333"/>
          <w:kern w:val="0"/>
          <w:sz w:val="22"/>
          <w:szCs w:val="22"/>
          <w:bdr w:val="none" w:color="auto" w:sz="0" w:space="0"/>
          <w:lang w:val="en-US" w:eastAsia="zh-CN" w:bidi="ar"/>
        </w:rPr>
        <w:t> </w:t>
      </w:r>
      <w:r>
        <w:rPr>
          <w:rFonts w:hint="eastAsia" w:ascii="微软雅黑" w:hAnsi="微软雅黑" w:eastAsia="微软雅黑" w:cs="微软雅黑"/>
          <w:color w:val="333333"/>
          <w:kern w:val="0"/>
          <w:sz w:val="22"/>
          <w:szCs w:val="22"/>
          <w:u w:val="none"/>
          <w:bdr w:val="none" w:color="auto" w:sz="0" w:space="0"/>
          <w:lang w:val="en-US" w:eastAsia="zh-CN" w:bidi="ar"/>
        </w:rPr>
        <w:t>中</w:t>
      </w:r>
      <w:r>
        <w:rPr>
          <w:rFonts w:hint="eastAsia" w:ascii="微软雅黑" w:hAnsi="微软雅黑" w:eastAsia="微软雅黑" w:cs="微软雅黑"/>
          <w:color w:val="333333"/>
          <w:kern w:val="0"/>
          <w:sz w:val="22"/>
          <w:szCs w:val="22"/>
          <w:bdr w:val="none" w:color="auto" w:sz="0" w:space="0"/>
          <w:lang w:val="en-US" w:eastAsia="zh-CN" w:bidi="ar"/>
        </w:rPr>
        <w:t> </w:t>
      </w:r>
      <w:r>
        <w:rPr>
          <w:rFonts w:hint="eastAsia" w:ascii="微软雅黑" w:hAnsi="微软雅黑" w:eastAsia="微软雅黑" w:cs="微软雅黑"/>
          <w:color w:val="333333"/>
          <w:kern w:val="0"/>
          <w:sz w:val="22"/>
          <w:szCs w:val="22"/>
          <w:u w:val="none"/>
          <w:bdr w:val="none" w:color="auto" w:sz="0" w:space="0"/>
          <w:lang w:val="en-US" w:eastAsia="zh-CN" w:bidi="ar"/>
        </w:rPr>
        <w:t>小</w:t>
      </w:r>
      <w:r>
        <w:rPr>
          <w:rFonts w:hint="eastAsia" w:ascii="微软雅黑" w:hAnsi="微软雅黑" w:eastAsia="微软雅黑" w:cs="微软雅黑"/>
          <w:color w:val="333333"/>
          <w:kern w:val="0"/>
          <w:sz w:val="22"/>
          <w:szCs w:val="22"/>
          <w:bdr w:val="none" w:color="auto" w:sz="0" w:space="0"/>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line="555" w:lineRule="atLeast"/>
        <w:ind w:left="0" w:right="0" w:firstLine="645"/>
        <w:jc w:val="left"/>
        <w:rPr>
          <w:rFonts w:hint="eastAsia" w:ascii="微软雅黑" w:hAnsi="微软雅黑" w:eastAsia="微软雅黑" w:cs="微软雅黑"/>
          <w:i w:val="0"/>
          <w:iCs w:val="0"/>
          <w:caps w:val="0"/>
          <w:color w:val="333333"/>
          <w:spacing w:val="0"/>
          <w:sz w:val="25"/>
          <w:szCs w:val="25"/>
        </w:rPr>
      </w:pPr>
      <w:r>
        <w:rPr>
          <w:rFonts w:ascii="仿宋_GB2312" w:hAnsi="微软雅黑" w:eastAsia="仿宋_GB2312" w:cs="仿宋_GB2312"/>
          <w:i w:val="0"/>
          <w:iCs w:val="0"/>
          <w:caps w:val="0"/>
          <w:color w:val="333333"/>
          <w:spacing w:val="0"/>
          <w:sz w:val="25"/>
          <w:szCs w:val="25"/>
          <w:bdr w:val="none" w:color="auto" w:sz="0" w:space="0"/>
        </w:rPr>
        <w:t>近日，</w:t>
      </w:r>
      <w:r>
        <w:rPr>
          <w:rFonts w:hint="default" w:ascii="仿宋_GB2312" w:hAnsi="微软雅黑" w:eastAsia="仿宋_GB2312" w:cs="仿宋_GB2312"/>
          <w:i w:val="0"/>
          <w:iCs w:val="0"/>
          <w:caps w:val="0"/>
          <w:color w:val="333333"/>
          <w:spacing w:val="0"/>
          <w:sz w:val="25"/>
          <w:szCs w:val="25"/>
          <w:bdr w:val="none" w:color="auto" w:sz="0" w:space="0"/>
        </w:rPr>
        <w:t>为提升科技农业发展水平，适应农业供给侧结构性改革要求，加快农业新品种、新技术的推广转化应用，助力农业由增产转向提质增效，市农业农村局遴选发布了</w:t>
      </w:r>
      <w:r>
        <w:rPr>
          <w:rFonts w:hint="default" w:ascii="仿宋_GB2312" w:hAnsi="微软雅黑" w:eastAsia="仿宋_GB2312" w:cs="仿宋_GB2312"/>
          <w:i w:val="0"/>
          <w:iCs w:val="0"/>
          <w:caps w:val="0"/>
          <w:color w:val="333333"/>
          <w:spacing w:val="0"/>
          <w:sz w:val="31"/>
          <w:szCs w:val="31"/>
          <w:bdr w:val="none" w:color="auto" w:sz="0" w:space="0"/>
        </w:rPr>
        <w:t>55</w:t>
      </w:r>
      <w:r>
        <w:rPr>
          <w:rFonts w:hint="default" w:ascii="仿宋_GB2312" w:hAnsi="微软雅黑" w:eastAsia="仿宋_GB2312" w:cs="仿宋_GB2312"/>
          <w:i w:val="0"/>
          <w:iCs w:val="0"/>
          <w:caps w:val="0"/>
          <w:color w:val="333333"/>
          <w:spacing w:val="0"/>
          <w:sz w:val="25"/>
          <w:szCs w:val="25"/>
          <w:bdr w:val="none" w:color="auto" w:sz="0" w:space="0"/>
        </w:rPr>
        <w:t>个农业主导品种、</w:t>
      </w:r>
      <w:r>
        <w:rPr>
          <w:rFonts w:hint="default" w:ascii="仿宋_GB2312" w:hAnsi="微软雅黑" w:eastAsia="仿宋_GB2312" w:cs="仿宋_GB2312"/>
          <w:i w:val="0"/>
          <w:iCs w:val="0"/>
          <w:caps w:val="0"/>
          <w:color w:val="333333"/>
          <w:spacing w:val="0"/>
          <w:sz w:val="31"/>
          <w:szCs w:val="31"/>
          <w:bdr w:val="none" w:color="auto" w:sz="0" w:space="0"/>
        </w:rPr>
        <w:t>30</w:t>
      </w:r>
      <w:r>
        <w:rPr>
          <w:rFonts w:hint="default" w:ascii="仿宋_GB2312" w:hAnsi="微软雅黑" w:eastAsia="仿宋_GB2312" w:cs="仿宋_GB2312"/>
          <w:i w:val="0"/>
          <w:iCs w:val="0"/>
          <w:caps w:val="0"/>
          <w:color w:val="333333"/>
          <w:spacing w:val="0"/>
          <w:sz w:val="25"/>
          <w:szCs w:val="25"/>
          <w:bdr w:val="none" w:color="auto" w:sz="0" w:space="0"/>
        </w:rPr>
        <w:t>项主推技术和</w:t>
      </w:r>
      <w:r>
        <w:rPr>
          <w:rFonts w:hint="default" w:ascii="仿宋_GB2312" w:hAnsi="微软雅黑" w:eastAsia="仿宋_GB2312" w:cs="仿宋_GB2312"/>
          <w:i w:val="0"/>
          <w:iCs w:val="0"/>
          <w:caps w:val="0"/>
          <w:color w:val="333333"/>
          <w:spacing w:val="0"/>
          <w:sz w:val="31"/>
          <w:szCs w:val="31"/>
          <w:bdr w:val="none" w:color="auto" w:sz="0" w:space="0"/>
        </w:rPr>
        <w:t>6项绿色技术模式</w:t>
      </w:r>
      <w:r>
        <w:rPr>
          <w:rFonts w:hint="default" w:ascii="仿宋_GB2312" w:hAnsi="微软雅黑" w:eastAsia="仿宋_GB2312" w:cs="仿宋_GB2312"/>
          <w:i w:val="0"/>
          <w:iCs w:val="0"/>
          <w:caps w:val="0"/>
          <w:color w:val="333333"/>
          <w:spacing w:val="0"/>
          <w:sz w:val="25"/>
          <w:szCs w:val="25"/>
          <w:bdr w:val="none" w:color="auto" w:sz="0" w:space="0"/>
        </w:rPr>
        <w:t>。此举措旨在提高广大农民选择应用新技术的意识，引导广大农业生产经营者科学应用新品种和先进技术，巩固脱贫攻坚成果，推动农业转型升级和高质量发展。各级农业技术推广机构将农业主导品种、主推技术和绿色技术模式作为对基层农技人员和农民培训的重点内容，努力提高基层科技人员、科技示范户、新型农业经营主体带头人和农民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color w:val="333333"/>
          <w:sz w:val="25"/>
          <w:szCs w:val="25"/>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208BB"/>
    <w:multiLevelType w:val="singleLevel"/>
    <w:tmpl w:val="DBF208BB"/>
    <w:lvl w:ilvl="0" w:tentative="0">
      <w:start w:val="1"/>
      <w:numFmt w:val="chineseCounting"/>
      <w:pStyle w:val="6"/>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86F25"/>
    <w:rsid w:val="6BBC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样式110"/>
    <w:basedOn w:val="1"/>
    <w:uiPriority w:val="0"/>
    <w:pPr>
      <w:numPr>
        <w:ilvl w:val="0"/>
        <w:numId w:val="1"/>
      </w:numPr>
      <w:ind w:firstLineChars="200"/>
    </w:pPr>
    <w:rPr>
      <w:rFonts w:hint="eastAsia" w:ascii="Times New Roman" w:hAnsi="Times New Roman"/>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2021-07-14T01:29:00Z</dcterms:created>
  <dc:creator>Administrator</dc:creator>
  <cp:lastModifiedBy>艾涵</cp:lastModifiedBy>
  <dcterms:modified xsi:type="dcterms:W3CDTF">2021-08-13T01:15:02Z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96CE3A94C5004C3AA85FD77C40B02344</vt:lpwstr>
  </property>
</Properties>
</file>