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C89" w:rsidRDefault="00234C89" w:rsidP="00234C89">
      <w:pPr>
        <w:snapToGrid w:val="0"/>
        <w:spacing w:line="580" w:lineRule="exact"/>
        <w:jc w:val="left"/>
        <w:rPr>
          <w:rFonts w:ascii="黑体" w:eastAsia="黑体" w:hAnsi="黑体" w:cs="黑体" w:hint="eastAsia"/>
          <w:color w:val="auto"/>
          <w:kern w:val="2"/>
          <w:sz w:val="32"/>
          <w:szCs w:val="32"/>
        </w:rPr>
      </w:pPr>
      <w:r w:rsidRPr="00FB412C">
        <w:rPr>
          <w:rFonts w:ascii="黑体" w:eastAsia="黑体" w:hAnsi="黑体" w:cs="黑体" w:hint="eastAsia"/>
          <w:color w:val="auto"/>
          <w:kern w:val="2"/>
          <w:sz w:val="32"/>
          <w:szCs w:val="32"/>
        </w:rPr>
        <w:t>附件4</w:t>
      </w:r>
    </w:p>
    <w:p w:rsidR="00234C89" w:rsidRPr="00FB412C" w:rsidRDefault="00234C89" w:rsidP="00234C89">
      <w:pPr>
        <w:snapToGrid w:val="0"/>
        <w:spacing w:line="580" w:lineRule="exact"/>
        <w:jc w:val="left"/>
        <w:rPr>
          <w:rFonts w:ascii="黑体" w:eastAsia="黑体" w:hAnsi="黑体" w:cs="黑体" w:hint="eastAsia"/>
          <w:color w:val="auto"/>
          <w:kern w:val="2"/>
          <w:sz w:val="32"/>
          <w:szCs w:val="32"/>
        </w:rPr>
      </w:pPr>
    </w:p>
    <w:p w:rsidR="00234C89" w:rsidRPr="00FB412C" w:rsidRDefault="00234C89" w:rsidP="00234C89">
      <w:pPr>
        <w:autoSpaceDN w:val="0"/>
        <w:spacing w:line="580" w:lineRule="exact"/>
        <w:jc w:val="center"/>
        <w:rPr>
          <w:rFonts w:hint="eastAsia"/>
          <w:b/>
          <w:color w:val="auto"/>
          <w:kern w:val="2"/>
          <w:sz w:val="36"/>
          <w:szCs w:val="36"/>
        </w:rPr>
      </w:pPr>
      <w:r w:rsidRPr="00FB412C">
        <w:rPr>
          <w:rFonts w:hint="eastAsia"/>
          <w:b/>
          <w:color w:val="auto"/>
          <w:kern w:val="2"/>
          <w:sz w:val="36"/>
          <w:szCs w:val="36"/>
        </w:rPr>
        <w:t>河北省中药材质量追溯体系建设与应用技术榜单</w:t>
      </w:r>
    </w:p>
    <w:p w:rsidR="00234C89" w:rsidRDefault="00234C89" w:rsidP="00234C89">
      <w:pPr>
        <w:autoSpaceDN w:val="0"/>
        <w:spacing w:line="580" w:lineRule="exact"/>
        <w:jc w:val="center"/>
        <w:rPr>
          <w:rFonts w:ascii="楷体_GB2312" w:eastAsia="楷体_GB2312" w:hAnsi="楷体_GB2312" w:cs="楷体_GB2312" w:hint="eastAsia"/>
          <w:color w:val="auto"/>
          <w:kern w:val="2"/>
          <w:sz w:val="32"/>
          <w:szCs w:val="32"/>
        </w:rPr>
      </w:pPr>
      <w:r w:rsidRPr="00FB412C">
        <w:rPr>
          <w:rFonts w:ascii="楷体_GB2312" w:eastAsia="楷体_GB2312" w:hAnsi="楷体_GB2312" w:cs="楷体_GB2312" w:hint="eastAsia"/>
          <w:color w:val="auto"/>
          <w:kern w:val="2"/>
          <w:sz w:val="32"/>
          <w:szCs w:val="32"/>
        </w:rPr>
        <w:t>（指南代码：3140401）</w:t>
      </w:r>
    </w:p>
    <w:p w:rsidR="00234C89" w:rsidRPr="00FB412C" w:rsidRDefault="00234C89" w:rsidP="00234C89">
      <w:pPr>
        <w:autoSpaceDN w:val="0"/>
        <w:spacing w:line="580" w:lineRule="exact"/>
        <w:jc w:val="center"/>
        <w:rPr>
          <w:rFonts w:ascii="楷体_GB2312" w:eastAsia="楷体_GB2312" w:hAnsi="楷体_GB2312" w:cs="楷体_GB2312" w:hint="eastAsia"/>
          <w:color w:val="auto"/>
          <w:kern w:val="2"/>
          <w:sz w:val="32"/>
          <w:szCs w:val="32"/>
        </w:rPr>
      </w:pPr>
    </w:p>
    <w:p w:rsidR="00234C89" w:rsidRPr="00FB412C" w:rsidRDefault="00234C89" w:rsidP="00234C89">
      <w:pPr>
        <w:spacing w:line="580" w:lineRule="exact"/>
        <w:rPr>
          <w:rFonts w:ascii="仿宋_GB2312" w:eastAsia="仿宋_GB2312" w:hAnsi="仿宋_GB2312" w:cs="仿宋_GB2312" w:hint="eastAsia"/>
          <w:b/>
          <w:bCs/>
          <w:color w:val="auto"/>
          <w:kern w:val="2"/>
          <w:sz w:val="32"/>
          <w:szCs w:val="32"/>
        </w:rPr>
      </w:pPr>
      <w:r w:rsidRPr="00FB412C">
        <w:rPr>
          <w:rFonts w:ascii="楷体" w:eastAsia="楷体" w:hAnsi="楷体" w:cs="楷体" w:hint="eastAsia"/>
          <w:color w:val="auto"/>
          <w:kern w:val="2"/>
          <w:sz w:val="32"/>
          <w:szCs w:val="32"/>
        </w:rPr>
        <w:t xml:space="preserve">    </w:t>
      </w:r>
      <w:r w:rsidRPr="00FB412C">
        <w:rPr>
          <w:rFonts w:ascii="黑体" w:eastAsia="黑体" w:hAnsi="黑体" w:cs="黑体" w:hint="eastAsia"/>
          <w:color w:val="auto"/>
          <w:kern w:val="2"/>
          <w:sz w:val="32"/>
          <w:szCs w:val="32"/>
        </w:rPr>
        <w:t xml:space="preserve">一、项目背景 </w:t>
      </w:r>
    </w:p>
    <w:p w:rsidR="00234C89" w:rsidRPr="00FB412C" w:rsidRDefault="00234C89" w:rsidP="00234C89">
      <w:pPr>
        <w:spacing w:line="580" w:lineRule="exact"/>
        <w:rPr>
          <w:rFonts w:ascii="仿宋_GB2312" w:eastAsia="仿宋_GB2312" w:hAnsi="仿宋_GB2312" w:cs="仿宋_GB2312" w:hint="eastAsia"/>
          <w:color w:val="auto"/>
          <w:kern w:val="2"/>
          <w:sz w:val="32"/>
          <w:szCs w:val="32"/>
        </w:rPr>
      </w:pPr>
      <w:r w:rsidRPr="00FB412C">
        <w:rPr>
          <w:rFonts w:ascii="仿宋_GB2312" w:eastAsia="仿宋_GB2312" w:hAnsi="仿宋_GB2312" w:cs="仿宋_GB2312" w:hint="eastAsia"/>
          <w:b/>
          <w:bCs/>
          <w:color w:val="auto"/>
          <w:kern w:val="2"/>
          <w:sz w:val="32"/>
          <w:szCs w:val="32"/>
        </w:rPr>
        <w:t xml:space="preserve">    </w:t>
      </w:r>
      <w:r w:rsidRPr="00FB412C">
        <w:rPr>
          <w:rFonts w:ascii="仿宋_GB2312" w:eastAsia="仿宋_GB2312" w:hAnsi="仿宋_GB2312" w:cs="仿宋_GB2312" w:hint="eastAsia"/>
          <w:color w:val="auto"/>
          <w:kern w:val="2"/>
          <w:sz w:val="32"/>
          <w:szCs w:val="32"/>
        </w:rPr>
        <w:t>中央国务院在《关于促进中医药传承创新发展的意见》提出了要建立中药材生产流通使用全过程追溯体系，实现中药重点品种来源可查、去向可追、责任可究的要求。围绕落实省委省政府明确要强化中药安全质量监管，进一步完善中药材质量追溯平台,推进建立中药材生产流通使用全过程追溯体系。我省是中药材大省，在中药材生产质量安全追溯体系建设方面缺少一体化的规划建设与落地应用。</w:t>
      </w:r>
    </w:p>
    <w:p w:rsidR="00234C89" w:rsidRPr="00FB412C" w:rsidRDefault="00234C89" w:rsidP="00234C89">
      <w:pPr>
        <w:autoSpaceDN w:val="0"/>
        <w:spacing w:line="580" w:lineRule="exact"/>
        <w:jc w:val="left"/>
        <w:rPr>
          <w:rFonts w:ascii="仿宋_GB2312" w:eastAsia="仿宋_GB2312" w:hAnsi="仿宋_GB2312" w:cs="仿宋_GB2312" w:hint="eastAsia"/>
          <w:color w:val="auto"/>
          <w:kern w:val="2"/>
          <w:sz w:val="32"/>
          <w:szCs w:val="32"/>
        </w:rPr>
      </w:pPr>
      <w:r w:rsidRPr="00FB412C">
        <w:rPr>
          <w:rFonts w:ascii="仿宋_GB2312" w:eastAsia="仿宋_GB2312" w:hAnsi="仿宋_GB2312" w:cs="仿宋_GB2312" w:hint="eastAsia"/>
          <w:b/>
          <w:bCs/>
          <w:color w:val="auto"/>
          <w:kern w:val="2"/>
          <w:sz w:val="32"/>
          <w:szCs w:val="32"/>
        </w:rPr>
        <w:t xml:space="preserve">   </w:t>
      </w:r>
      <w:r w:rsidRPr="00FB412C">
        <w:rPr>
          <w:rFonts w:ascii="黑体" w:eastAsia="黑体" w:hAnsi="黑体" w:cs="黑体" w:hint="eastAsia"/>
          <w:color w:val="auto"/>
          <w:kern w:val="2"/>
          <w:sz w:val="32"/>
          <w:szCs w:val="32"/>
        </w:rPr>
        <w:t xml:space="preserve"> 二、项目目标</w:t>
      </w:r>
    </w:p>
    <w:p w:rsidR="00234C89" w:rsidRPr="00FB412C" w:rsidRDefault="00234C89" w:rsidP="00234C89">
      <w:pPr>
        <w:autoSpaceDN w:val="0"/>
        <w:spacing w:line="580" w:lineRule="exact"/>
        <w:ind w:firstLineChars="200" w:firstLine="640"/>
        <w:jc w:val="left"/>
        <w:rPr>
          <w:rFonts w:ascii="仿宋_GB2312" w:eastAsia="仿宋_GB2312" w:hAnsi="仿宋_GB2312" w:cs="仿宋_GB2312" w:hint="eastAsia"/>
          <w:color w:val="auto"/>
          <w:kern w:val="2"/>
          <w:sz w:val="32"/>
          <w:szCs w:val="32"/>
        </w:rPr>
      </w:pPr>
      <w:r w:rsidRPr="00FB412C">
        <w:rPr>
          <w:rFonts w:ascii="仿宋_GB2312" w:eastAsia="仿宋_GB2312" w:hAnsi="仿宋_GB2312" w:cs="仿宋_GB2312" w:hint="eastAsia"/>
          <w:color w:val="auto"/>
          <w:kern w:val="2"/>
          <w:sz w:val="32"/>
          <w:szCs w:val="32"/>
        </w:rPr>
        <w:t>利用现代化信息技术搭建河北省中药材质</w:t>
      </w:r>
      <w:proofErr w:type="gramStart"/>
      <w:r w:rsidRPr="00FB412C">
        <w:rPr>
          <w:rFonts w:ascii="仿宋_GB2312" w:eastAsia="仿宋_GB2312" w:hAnsi="仿宋_GB2312" w:cs="仿宋_GB2312" w:hint="eastAsia"/>
          <w:color w:val="auto"/>
          <w:kern w:val="2"/>
          <w:sz w:val="32"/>
          <w:szCs w:val="32"/>
        </w:rPr>
        <w:t>量安全</w:t>
      </w:r>
      <w:proofErr w:type="gramEnd"/>
      <w:r w:rsidRPr="00FB412C">
        <w:rPr>
          <w:rFonts w:ascii="仿宋_GB2312" w:eastAsia="仿宋_GB2312" w:hAnsi="仿宋_GB2312" w:cs="仿宋_GB2312" w:hint="eastAsia"/>
          <w:color w:val="auto"/>
          <w:kern w:val="2"/>
          <w:sz w:val="32"/>
          <w:szCs w:val="32"/>
        </w:rPr>
        <w:t>追溯体系，追溯体系中融入区块链技术，将物联网、人工智能和药材生长模型联合应用，利用大数据整合中药材生产信息，提升中药材产业种植、产地初加工等环节的抗风险能力，促进相关企业提质增效。</w:t>
      </w:r>
    </w:p>
    <w:p w:rsidR="00234C89" w:rsidRPr="00FB412C" w:rsidRDefault="00234C89" w:rsidP="00234C89">
      <w:pPr>
        <w:autoSpaceDN w:val="0"/>
        <w:spacing w:line="580" w:lineRule="exact"/>
        <w:jc w:val="left"/>
        <w:rPr>
          <w:rFonts w:ascii="仿宋_GB2312" w:eastAsia="仿宋_GB2312" w:hAnsi="仿宋_GB2312" w:cs="仿宋_GB2312" w:hint="eastAsia"/>
          <w:color w:val="auto"/>
          <w:kern w:val="2"/>
          <w:sz w:val="32"/>
          <w:szCs w:val="32"/>
        </w:rPr>
      </w:pPr>
      <w:r w:rsidRPr="00FB412C">
        <w:rPr>
          <w:rFonts w:ascii="仿宋_GB2312" w:eastAsia="仿宋_GB2312" w:hAnsi="仿宋_GB2312" w:cs="仿宋_GB2312" w:hint="eastAsia"/>
          <w:color w:val="auto"/>
          <w:kern w:val="2"/>
          <w:sz w:val="32"/>
          <w:szCs w:val="32"/>
        </w:rPr>
        <w:t xml:space="preserve">    </w:t>
      </w:r>
      <w:r w:rsidRPr="00FB412C">
        <w:rPr>
          <w:rFonts w:ascii="黑体" w:eastAsia="黑体" w:hAnsi="黑体" w:cs="黑体" w:hint="eastAsia"/>
          <w:color w:val="auto"/>
          <w:kern w:val="2"/>
          <w:sz w:val="32"/>
          <w:szCs w:val="32"/>
        </w:rPr>
        <w:t>三、考核指标</w:t>
      </w:r>
    </w:p>
    <w:p w:rsidR="00234C89" w:rsidRPr="00FB412C" w:rsidRDefault="00234C89" w:rsidP="00234C89">
      <w:pPr>
        <w:autoSpaceDN w:val="0"/>
        <w:spacing w:line="580" w:lineRule="exact"/>
        <w:ind w:firstLineChars="200" w:firstLine="640"/>
        <w:jc w:val="left"/>
        <w:rPr>
          <w:rFonts w:ascii="仿宋_GB2312" w:eastAsia="仿宋_GB2312" w:hAnsi="仿宋_GB2312" w:cs="仿宋_GB2312" w:hint="eastAsia"/>
          <w:color w:val="auto"/>
          <w:kern w:val="2"/>
          <w:sz w:val="32"/>
          <w:szCs w:val="32"/>
        </w:rPr>
      </w:pPr>
      <w:r w:rsidRPr="00FB412C">
        <w:rPr>
          <w:rFonts w:ascii="仿宋_GB2312" w:eastAsia="仿宋_GB2312" w:hAnsi="仿宋_GB2312" w:cs="仿宋_GB2312" w:hint="eastAsia"/>
          <w:color w:val="auto"/>
          <w:kern w:val="2"/>
          <w:sz w:val="32"/>
          <w:szCs w:val="32"/>
        </w:rPr>
        <w:t>1.建立中药材生产全过程质量追溯综合服务平台，包含河北省中药材资源信息，中药材种植、产地初加工物联网监测，专家服务，中药材赋码系统大数据分析等功能；规范追溯综合服务平</w:t>
      </w:r>
      <w:r w:rsidRPr="00FB412C">
        <w:rPr>
          <w:rFonts w:ascii="仿宋_GB2312" w:eastAsia="仿宋_GB2312" w:hAnsi="仿宋_GB2312" w:cs="仿宋_GB2312" w:hint="eastAsia"/>
          <w:color w:val="auto"/>
          <w:kern w:val="2"/>
          <w:sz w:val="32"/>
          <w:szCs w:val="32"/>
        </w:rPr>
        <w:lastRenderedPageBreak/>
        <w:t>台接口标准，对接国家追溯服务系统，实现动态接入。</w:t>
      </w:r>
    </w:p>
    <w:p w:rsidR="00234C89" w:rsidRPr="00FB412C" w:rsidRDefault="00234C89" w:rsidP="00234C89">
      <w:pPr>
        <w:widowControl/>
        <w:spacing w:line="580" w:lineRule="exact"/>
        <w:ind w:firstLineChars="200" w:firstLine="640"/>
        <w:rPr>
          <w:rFonts w:ascii="仿宋_GB2312" w:eastAsia="仿宋_GB2312" w:hAnsi="仿宋_GB2312" w:cs="仿宋_GB2312" w:hint="eastAsia"/>
          <w:color w:val="auto"/>
          <w:kern w:val="2"/>
          <w:sz w:val="32"/>
          <w:szCs w:val="32"/>
        </w:rPr>
      </w:pPr>
      <w:r w:rsidRPr="00FB412C">
        <w:rPr>
          <w:rFonts w:ascii="仿宋_GB2312" w:eastAsia="仿宋_GB2312" w:hAnsi="仿宋_GB2312" w:cs="仿宋_GB2312" w:hint="eastAsia"/>
          <w:color w:val="auto"/>
          <w:kern w:val="2"/>
          <w:sz w:val="32"/>
          <w:szCs w:val="32"/>
        </w:rPr>
        <w:t>2.获得软件著作权6项以上，执行期内为平台推广应用培训不少于10000人/次，专家系统入驻人数不少于100人。</w:t>
      </w:r>
    </w:p>
    <w:p w:rsidR="00234C89" w:rsidRPr="00FB412C" w:rsidRDefault="00234C89" w:rsidP="00234C89">
      <w:pPr>
        <w:widowControl/>
        <w:spacing w:line="580" w:lineRule="exact"/>
        <w:ind w:firstLineChars="200" w:firstLine="640"/>
        <w:rPr>
          <w:rFonts w:ascii="仿宋_GB2312" w:eastAsia="仿宋_GB2312" w:hAnsi="仿宋_GB2312" w:cs="仿宋_GB2312" w:hint="eastAsia"/>
          <w:color w:val="auto"/>
          <w:kern w:val="2"/>
          <w:sz w:val="32"/>
          <w:szCs w:val="32"/>
        </w:rPr>
      </w:pPr>
      <w:r w:rsidRPr="00FB412C">
        <w:rPr>
          <w:rFonts w:ascii="仿宋_GB2312" w:eastAsia="仿宋_GB2312" w:hAnsi="仿宋_GB2312" w:cs="仿宋_GB2312" w:hint="eastAsia"/>
          <w:color w:val="auto"/>
          <w:kern w:val="2"/>
          <w:sz w:val="32"/>
          <w:szCs w:val="32"/>
        </w:rPr>
        <w:t>3.项目完成中药材生产环节企业入驻，签约入驻省内种植基地不少于1000家（其中应用物联网视频监测的不少于100家）。</w:t>
      </w:r>
    </w:p>
    <w:p w:rsidR="00234C89" w:rsidRPr="00FB412C" w:rsidRDefault="00234C89" w:rsidP="00234C89">
      <w:pPr>
        <w:spacing w:line="580" w:lineRule="exact"/>
        <w:rPr>
          <w:rFonts w:ascii="Times New Roman" w:hAnsi="Times New Roman" w:cs="Times New Roman"/>
          <w:color w:val="auto"/>
          <w:kern w:val="2"/>
          <w:sz w:val="21"/>
          <w:szCs w:val="20"/>
        </w:rPr>
      </w:pPr>
      <w:r w:rsidRPr="00FB412C">
        <w:rPr>
          <w:rFonts w:ascii="Times New Roman" w:hAnsi="Times New Roman" w:cs="Times New Roman" w:hint="eastAsia"/>
          <w:color w:val="auto"/>
          <w:kern w:val="2"/>
          <w:sz w:val="32"/>
          <w:szCs w:val="32"/>
        </w:rPr>
        <w:t xml:space="preserve">   </w:t>
      </w:r>
    </w:p>
    <w:p w:rsidR="00F82BC3" w:rsidRPr="00234C89" w:rsidRDefault="00F82BC3">
      <w:bookmarkStart w:id="0" w:name="_GoBack"/>
      <w:bookmarkEnd w:id="0"/>
    </w:p>
    <w:sectPr w:rsidR="00F82BC3" w:rsidRPr="00234C89" w:rsidSect="00DA5FC4">
      <w:footerReference w:type="even" r:id="rId4"/>
      <w:footerReference w:type="default" r:id="rId5"/>
      <w:pgSz w:w="11906" w:h="16838" w:code="9"/>
      <w:pgMar w:top="1701" w:right="1418" w:bottom="1418" w:left="1418" w:header="851" w:footer="992" w:gutter="0"/>
      <w:pgNumType w:fmt="numberInDash"/>
      <w:cols w:space="425"/>
      <w:titlePg/>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9CD" w:rsidRDefault="00234C89" w:rsidP="00DA5FC4">
    <w:pPr>
      <w:pStyle w:val="a3"/>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3B19CD" w:rsidRDefault="00234C89" w:rsidP="00804A77">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FC4" w:rsidRPr="00DA5FC4" w:rsidRDefault="00234C89" w:rsidP="004A37E1">
    <w:pPr>
      <w:pStyle w:val="a3"/>
      <w:framePr w:wrap="around" w:vAnchor="text" w:hAnchor="margin" w:xAlign="outside" w:y="1"/>
      <w:rPr>
        <w:rStyle w:val="a5"/>
        <w:sz w:val="28"/>
        <w:szCs w:val="28"/>
      </w:rPr>
    </w:pPr>
    <w:r w:rsidRPr="00DA5FC4">
      <w:rPr>
        <w:rStyle w:val="a5"/>
        <w:sz w:val="28"/>
        <w:szCs w:val="28"/>
      </w:rPr>
      <w:fldChar w:fldCharType="begin"/>
    </w:r>
    <w:r w:rsidRPr="00DA5FC4">
      <w:rPr>
        <w:rStyle w:val="a5"/>
        <w:sz w:val="28"/>
        <w:szCs w:val="28"/>
      </w:rPr>
      <w:instrText xml:space="preserve">PAGE  </w:instrText>
    </w:r>
    <w:r w:rsidRPr="00DA5FC4">
      <w:rPr>
        <w:rStyle w:val="a5"/>
        <w:sz w:val="28"/>
        <w:szCs w:val="28"/>
      </w:rPr>
      <w:fldChar w:fldCharType="separate"/>
    </w:r>
    <w:r>
      <w:rPr>
        <w:rStyle w:val="a5"/>
        <w:noProof/>
        <w:sz w:val="28"/>
        <w:szCs w:val="28"/>
      </w:rPr>
      <w:t>- 2 -</w:t>
    </w:r>
    <w:r w:rsidRPr="00DA5FC4">
      <w:rPr>
        <w:rStyle w:val="a5"/>
        <w:sz w:val="28"/>
        <w:szCs w:val="28"/>
      </w:rPr>
      <w:fldChar w:fldCharType="end"/>
    </w:r>
  </w:p>
  <w:p w:rsidR="003B19CD" w:rsidRDefault="00234C89" w:rsidP="00804A77">
    <w:pPr>
      <w:pStyle w:val="a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C89"/>
    <w:rsid w:val="00234C89"/>
    <w:rsid w:val="00F82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82F00C-4AD0-4747-B4E5-6E88BF3B1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C89"/>
    <w:pPr>
      <w:widowControl w:val="0"/>
      <w:jc w:val="both"/>
    </w:pPr>
    <w:rPr>
      <w:rFonts w:ascii="宋体" w:eastAsia="宋体" w:hAnsi="宋体" w:cs="宋体"/>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234C89"/>
    <w:pPr>
      <w:tabs>
        <w:tab w:val="center" w:pos="4153"/>
        <w:tab w:val="right" w:pos="8306"/>
      </w:tabs>
      <w:snapToGrid w:val="0"/>
      <w:jc w:val="left"/>
    </w:pPr>
    <w:rPr>
      <w:sz w:val="18"/>
      <w:szCs w:val="18"/>
    </w:rPr>
  </w:style>
  <w:style w:type="character" w:customStyle="1" w:styleId="a4">
    <w:name w:val="页脚 字符"/>
    <w:basedOn w:val="a0"/>
    <w:link w:val="a3"/>
    <w:rsid w:val="00234C89"/>
    <w:rPr>
      <w:rFonts w:ascii="宋体" w:eastAsia="宋体" w:hAnsi="宋体" w:cs="宋体"/>
      <w:color w:val="000000"/>
      <w:kern w:val="0"/>
      <w:sz w:val="18"/>
      <w:szCs w:val="18"/>
    </w:rPr>
  </w:style>
  <w:style w:type="character" w:styleId="a5">
    <w:name w:val="page number"/>
    <w:basedOn w:val="a0"/>
    <w:rsid w:val="00234C89"/>
  </w:style>
  <w:style w:type="paragraph" w:customStyle="1" w:styleId="CharCharCharCharCharCharChar">
    <w:name w:val="Char Char Char Char Char Char Char"/>
    <w:basedOn w:val="a"/>
    <w:rsid w:val="00234C89"/>
    <w:pPr>
      <w:widowControl/>
      <w:spacing w:after="160" w:line="240" w:lineRule="exact"/>
      <w:jc w:val="left"/>
    </w:pPr>
    <w:rPr>
      <w:rFonts w:ascii="Arial" w:eastAsia="Times New Roman" w:hAnsi="Arial" w:cs="Verdana"/>
      <w:b/>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Words>
  <Characters>508</Characters>
  <Application>Microsoft Office Word</Application>
  <DocSecurity>0</DocSecurity>
  <Lines>4</Lines>
  <Paragraphs>1</Paragraphs>
  <ScaleCrop>false</ScaleCrop>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2021-03-23T07:24:00Z</dcterms:created>
  <dcterms:modified xsi:type="dcterms:W3CDTF">2021-03-23T07:24:00Z</dcterms:modified>
</cp:coreProperties>
</file>