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380" w:lineRule="atLeast"/>
        <w:ind w:left="0" w:right="0" w:firstLine="0"/>
        <w:jc w:val="center"/>
        <w:rPr>
          <w:rFonts w:hint="eastAsia" w:ascii="宋体" w:hAnsi="宋体" w:eastAsia="宋体" w:cs="宋体"/>
          <w:b w:val="0"/>
          <w:i w:val="0"/>
          <w:caps w:val="0"/>
          <w:color w:val="666666"/>
          <w:spacing w:val="0"/>
          <w:sz w:val="18"/>
          <w:szCs w:val="18"/>
        </w:rPr>
      </w:pPr>
      <w:bookmarkStart w:id="0" w:name="_GoBack"/>
      <w:r>
        <w:rPr>
          <w:rFonts w:ascii="雅黑" w:hAnsi="雅黑" w:eastAsia="雅黑" w:cs="雅黑"/>
          <w:b/>
          <w:i w:val="0"/>
          <w:caps w:val="0"/>
          <w:color w:val="2C65A5"/>
          <w:spacing w:val="0"/>
          <w:sz w:val="48"/>
          <w:szCs w:val="48"/>
          <w:bdr w:val="none" w:color="auto" w:sz="0" w:space="0"/>
        </w:rPr>
        <w:t>关于做好2020年粮食安全保障调控和应急设施项目申报工作的通知</w:t>
      </w:r>
    </w:p>
    <w:bookmarkEnd w:id="0"/>
    <w:p>
      <w:pPr>
        <w:keepNext w:val="0"/>
        <w:keepLines w:val="0"/>
        <w:widowControl/>
        <w:suppressLineNumbers w:val="0"/>
        <w:pBdr>
          <w:top w:val="none" w:color="auto" w:sz="0" w:space="0"/>
          <w:left w:val="none" w:color="auto" w:sz="0" w:space="0"/>
          <w:bottom w:val="single" w:color="DCDCDC" w:sz="6" w:space="0"/>
          <w:right w:val="none" w:color="auto" w:sz="0" w:space="0"/>
        </w:pBdr>
        <w:spacing w:before="0" w:beforeAutospacing="0" w:after="0" w:afterAutospacing="0" w:line="525" w:lineRule="atLeast"/>
        <w:ind w:left="0" w:right="0" w:firstLine="0"/>
        <w:jc w:val="left"/>
        <w:rPr>
          <w:rFonts w:hint="default" w:ascii="雅黑" w:hAnsi="雅黑" w:eastAsia="雅黑" w:cs="雅黑"/>
          <w:i w:val="0"/>
          <w:caps w:val="0"/>
          <w:color w:val="666666"/>
          <w:spacing w:val="0"/>
          <w:sz w:val="21"/>
          <w:szCs w:val="21"/>
        </w:rPr>
      </w:pPr>
      <w:r>
        <w:rPr>
          <w:rFonts w:hint="default" w:ascii="雅黑" w:hAnsi="雅黑" w:eastAsia="雅黑" w:cs="雅黑"/>
          <w:i w:val="0"/>
          <w:caps w:val="0"/>
          <w:color w:val="666666"/>
          <w:spacing w:val="0"/>
          <w:kern w:val="0"/>
          <w:sz w:val="21"/>
          <w:szCs w:val="21"/>
          <w:bdr w:val="none" w:color="auto" w:sz="0" w:space="0"/>
          <w:lang w:val="en-US" w:eastAsia="zh-CN" w:bidi="ar"/>
        </w:rPr>
        <w:t>发布时间：2019-10-09 10:00     来源：唐山市发展和改革委员会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left"/>
        <w:rPr>
          <w:rFonts w:hint="default" w:ascii="雅黑" w:hAnsi="雅黑" w:eastAsia="雅黑" w:cs="雅黑"/>
          <w:i w:val="0"/>
          <w:caps w:val="0"/>
          <w:color w:val="666666"/>
          <w:spacing w:val="0"/>
          <w:sz w:val="21"/>
          <w:szCs w:val="21"/>
          <w:u w:val="none"/>
        </w:rPr>
      </w:pPr>
      <w:r>
        <w:rPr>
          <w:rFonts w:hint="default" w:ascii="雅黑" w:hAnsi="雅黑" w:eastAsia="雅黑" w:cs="雅黑"/>
          <w:i w:val="0"/>
          <w:caps w:val="0"/>
          <w:color w:val="666666"/>
          <w:spacing w:val="0"/>
          <w:kern w:val="0"/>
          <w:sz w:val="18"/>
          <w:szCs w:val="18"/>
          <w:u w:val="none"/>
          <w:bdr w:val="none" w:color="auto" w:sz="0" w:space="0"/>
          <w:lang w:val="en-US" w:eastAsia="zh-CN" w:bidi="ar"/>
        </w:rPr>
        <w:t> </w:t>
      </w:r>
      <w:r>
        <w:rPr>
          <w:rFonts w:hint="default" w:ascii="雅黑" w:hAnsi="雅黑" w:eastAsia="雅黑" w:cs="雅黑"/>
          <w:i w:val="0"/>
          <w:caps w:val="0"/>
          <w:color w:val="666666"/>
          <w:spacing w:val="0"/>
          <w:kern w:val="0"/>
          <w:sz w:val="21"/>
          <w:szCs w:val="21"/>
          <w:u w:val="none"/>
          <w:bdr w:val="none" w:color="auto" w:sz="0" w:space="0"/>
          <w:lang w:val="en-US" w:eastAsia="zh-CN" w:bidi="ar"/>
        </w:rPr>
        <w:t> </w:t>
      </w:r>
      <w:r>
        <w:rPr>
          <w:rFonts w:hint="default" w:ascii="雅黑" w:hAnsi="雅黑" w:eastAsia="雅黑" w:cs="雅黑"/>
          <w:i w:val="0"/>
          <w:caps w:val="0"/>
          <w:color w:val="666666"/>
          <w:spacing w:val="0"/>
          <w:kern w:val="0"/>
          <w:sz w:val="18"/>
          <w:szCs w:val="18"/>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525" w:lineRule="atLeast"/>
        <w:ind w:left="150" w:right="0" w:firstLine="0"/>
        <w:jc w:val="left"/>
        <w:rPr>
          <w:rFonts w:hint="default" w:ascii="雅黑" w:hAnsi="雅黑" w:eastAsia="雅黑" w:cs="雅黑"/>
          <w:i w:val="0"/>
          <w:caps w:val="0"/>
          <w:color w:val="666666"/>
          <w:spacing w:val="0"/>
          <w:sz w:val="21"/>
          <w:szCs w:val="21"/>
          <w:u w:val="none"/>
        </w:rPr>
      </w:pPr>
      <w:r>
        <w:rPr>
          <w:rFonts w:hint="default" w:ascii="雅黑" w:hAnsi="雅黑" w:eastAsia="雅黑" w:cs="雅黑"/>
          <w:i w:val="0"/>
          <w:caps w:val="0"/>
          <w:color w:val="666666"/>
          <w:spacing w:val="0"/>
          <w:kern w:val="0"/>
          <w:sz w:val="21"/>
          <w:szCs w:val="21"/>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single" w:color="DCDCDC" w:sz="6" w:space="0"/>
          <w:right w:val="none" w:color="auto" w:sz="0" w:space="0"/>
        </w:pBdr>
        <w:spacing w:before="0" w:beforeAutospacing="0" w:after="0" w:afterAutospacing="0" w:line="525" w:lineRule="atLeast"/>
        <w:ind w:left="0" w:right="0" w:firstLine="0"/>
        <w:jc w:val="left"/>
        <w:rPr>
          <w:rFonts w:hint="default" w:ascii="雅黑" w:hAnsi="雅黑" w:eastAsia="雅黑" w:cs="雅黑"/>
          <w:i w:val="0"/>
          <w:caps w:val="0"/>
          <w:color w:val="666666"/>
          <w:spacing w:val="0"/>
          <w:sz w:val="21"/>
          <w:szCs w:val="21"/>
        </w:rPr>
      </w:pPr>
      <w:r>
        <w:rPr>
          <w:rFonts w:hint="default" w:ascii="雅黑" w:hAnsi="雅黑" w:eastAsia="雅黑" w:cs="雅黑"/>
          <w:i w:val="0"/>
          <w:caps w:val="0"/>
          <w:color w:val="666666"/>
          <w:spacing w:val="0"/>
          <w:kern w:val="0"/>
          <w:sz w:val="21"/>
          <w:szCs w:val="21"/>
          <w:bdr w:val="none" w:color="auto" w:sz="0" w:space="0"/>
          <w:lang w:val="en-US" w:eastAsia="zh-CN" w:bidi="ar"/>
        </w:rPr>
        <w:t>【字体：</w:t>
      </w:r>
      <w:r>
        <w:rPr>
          <w:rFonts w:hint="default" w:ascii="雅黑" w:hAnsi="雅黑" w:eastAsia="雅黑" w:cs="雅黑"/>
          <w:i w:val="0"/>
          <w:caps w:val="0"/>
          <w:color w:val="666666"/>
          <w:spacing w:val="0"/>
          <w:kern w:val="0"/>
          <w:sz w:val="30"/>
          <w:szCs w:val="30"/>
          <w:u w:val="none"/>
          <w:bdr w:val="none" w:color="auto" w:sz="0" w:space="0"/>
          <w:lang w:val="en-US" w:eastAsia="zh-CN" w:bidi="ar"/>
        </w:rPr>
        <w:fldChar w:fldCharType="begin"/>
      </w:r>
      <w:r>
        <w:rPr>
          <w:rFonts w:hint="default" w:ascii="雅黑" w:hAnsi="雅黑" w:eastAsia="雅黑" w:cs="雅黑"/>
          <w:i w:val="0"/>
          <w:caps w:val="0"/>
          <w:color w:val="666666"/>
          <w:spacing w:val="0"/>
          <w:kern w:val="0"/>
          <w:sz w:val="30"/>
          <w:szCs w:val="30"/>
          <w:u w:val="none"/>
          <w:bdr w:val="none" w:color="auto" w:sz="0" w:space="0"/>
          <w:lang w:val="en-US" w:eastAsia="zh-CN" w:bidi="ar"/>
        </w:rPr>
        <w:instrText xml:space="preserve"> HYPERLINK "http://new.tangshan.gov.cn/zhengwu/zw_fagaiweitzgg/20191009/954179.html" </w:instrText>
      </w:r>
      <w:r>
        <w:rPr>
          <w:rFonts w:hint="default" w:ascii="雅黑" w:hAnsi="雅黑" w:eastAsia="雅黑" w:cs="雅黑"/>
          <w:i w:val="0"/>
          <w:caps w:val="0"/>
          <w:color w:val="666666"/>
          <w:spacing w:val="0"/>
          <w:kern w:val="0"/>
          <w:sz w:val="30"/>
          <w:szCs w:val="30"/>
          <w:u w:val="none"/>
          <w:bdr w:val="none" w:color="auto" w:sz="0" w:space="0"/>
          <w:lang w:val="en-US" w:eastAsia="zh-CN" w:bidi="ar"/>
        </w:rPr>
        <w:fldChar w:fldCharType="separate"/>
      </w:r>
      <w:r>
        <w:rPr>
          <w:rStyle w:val="5"/>
          <w:rFonts w:hint="default" w:ascii="雅黑" w:hAnsi="雅黑" w:eastAsia="雅黑" w:cs="雅黑"/>
          <w:i w:val="0"/>
          <w:caps w:val="0"/>
          <w:color w:val="666666"/>
          <w:spacing w:val="0"/>
          <w:sz w:val="21"/>
          <w:szCs w:val="21"/>
          <w:u w:val="none"/>
          <w:bdr w:val="none" w:color="auto" w:sz="0" w:space="0"/>
        </w:rPr>
        <w:t>大</w:t>
      </w:r>
      <w:r>
        <w:rPr>
          <w:rFonts w:hint="default" w:ascii="雅黑" w:hAnsi="雅黑" w:eastAsia="雅黑" w:cs="雅黑"/>
          <w:i w:val="0"/>
          <w:caps w:val="0"/>
          <w:color w:val="666666"/>
          <w:spacing w:val="0"/>
          <w:kern w:val="0"/>
          <w:sz w:val="30"/>
          <w:szCs w:val="30"/>
          <w:u w:val="none"/>
          <w:bdr w:val="none" w:color="auto" w:sz="0" w:space="0"/>
          <w:lang w:val="en-US" w:eastAsia="zh-CN" w:bidi="ar"/>
        </w:rPr>
        <w:fldChar w:fldCharType="end"/>
      </w:r>
      <w:r>
        <w:rPr>
          <w:rFonts w:hint="default" w:ascii="雅黑" w:hAnsi="雅黑" w:eastAsia="雅黑" w:cs="雅黑"/>
          <w:i w:val="0"/>
          <w:caps w:val="0"/>
          <w:color w:val="666666"/>
          <w:spacing w:val="0"/>
          <w:kern w:val="0"/>
          <w:sz w:val="21"/>
          <w:szCs w:val="21"/>
          <w:bdr w:val="none" w:color="auto" w:sz="0" w:space="0"/>
          <w:lang w:val="en-US" w:eastAsia="zh-CN" w:bidi="ar"/>
        </w:rPr>
        <w:t> </w:t>
      </w:r>
      <w:r>
        <w:rPr>
          <w:rFonts w:hint="default" w:ascii="雅黑" w:hAnsi="雅黑" w:eastAsia="雅黑" w:cs="雅黑"/>
          <w:i w:val="0"/>
          <w:caps w:val="0"/>
          <w:color w:val="666666"/>
          <w:spacing w:val="0"/>
          <w:kern w:val="0"/>
          <w:sz w:val="24"/>
          <w:szCs w:val="24"/>
          <w:u w:val="none"/>
          <w:bdr w:val="none" w:color="auto" w:sz="0" w:space="0"/>
          <w:lang w:val="en-US" w:eastAsia="zh-CN" w:bidi="ar"/>
        </w:rPr>
        <w:fldChar w:fldCharType="begin"/>
      </w:r>
      <w:r>
        <w:rPr>
          <w:rFonts w:hint="default" w:ascii="雅黑" w:hAnsi="雅黑" w:eastAsia="雅黑" w:cs="雅黑"/>
          <w:i w:val="0"/>
          <w:caps w:val="0"/>
          <w:color w:val="666666"/>
          <w:spacing w:val="0"/>
          <w:kern w:val="0"/>
          <w:sz w:val="24"/>
          <w:szCs w:val="24"/>
          <w:u w:val="none"/>
          <w:bdr w:val="none" w:color="auto" w:sz="0" w:space="0"/>
          <w:lang w:val="en-US" w:eastAsia="zh-CN" w:bidi="ar"/>
        </w:rPr>
        <w:instrText xml:space="preserve"> HYPERLINK "http://new.tangshan.gov.cn/zhengwu/zw_fagaiweitzgg/20191009/954179.html" </w:instrText>
      </w:r>
      <w:r>
        <w:rPr>
          <w:rFonts w:hint="default" w:ascii="雅黑" w:hAnsi="雅黑" w:eastAsia="雅黑" w:cs="雅黑"/>
          <w:i w:val="0"/>
          <w:caps w:val="0"/>
          <w:color w:val="666666"/>
          <w:spacing w:val="0"/>
          <w:kern w:val="0"/>
          <w:sz w:val="24"/>
          <w:szCs w:val="24"/>
          <w:u w:val="none"/>
          <w:bdr w:val="none" w:color="auto" w:sz="0" w:space="0"/>
          <w:lang w:val="en-US" w:eastAsia="zh-CN" w:bidi="ar"/>
        </w:rPr>
        <w:fldChar w:fldCharType="separate"/>
      </w:r>
      <w:r>
        <w:rPr>
          <w:rStyle w:val="5"/>
          <w:rFonts w:hint="default" w:ascii="雅黑" w:hAnsi="雅黑" w:eastAsia="雅黑" w:cs="雅黑"/>
          <w:i w:val="0"/>
          <w:caps w:val="0"/>
          <w:color w:val="666666"/>
          <w:spacing w:val="0"/>
          <w:sz w:val="21"/>
          <w:szCs w:val="21"/>
          <w:u w:val="none"/>
          <w:bdr w:val="none" w:color="auto" w:sz="0" w:space="0"/>
        </w:rPr>
        <w:t>中</w:t>
      </w:r>
      <w:r>
        <w:rPr>
          <w:rFonts w:hint="default" w:ascii="雅黑" w:hAnsi="雅黑" w:eastAsia="雅黑" w:cs="雅黑"/>
          <w:i w:val="0"/>
          <w:caps w:val="0"/>
          <w:color w:val="666666"/>
          <w:spacing w:val="0"/>
          <w:kern w:val="0"/>
          <w:sz w:val="24"/>
          <w:szCs w:val="24"/>
          <w:u w:val="none"/>
          <w:bdr w:val="none" w:color="auto" w:sz="0" w:space="0"/>
          <w:lang w:val="en-US" w:eastAsia="zh-CN" w:bidi="ar"/>
        </w:rPr>
        <w:fldChar w:fldCharType="end"/>
      </w:r>
      <w:r>
        <w:rPr>
          <w:rFonts w:hint="default" w:ascii="雅黑" w:hAnsi="雅黑" w:eastAsia="雅黑" w:cs="雅黑"/>
          <w:i w:val="0"/>
          <w:caps w:val="0"/>
          <w:color w:val="666666"/>
          <w:spacing w:val="0"/>
          <w:kern w:val="0"/>
          <w:sz w:val="21"/>
          <w:szCs w:val="21"/>
          <w:bdr w:val="none" w:color="auto" w:sz="0" w:space="0"/>
          <w:lang w:val="en-US" w:eastAsia="zh-CN" w:bidi="ar"/>
        </w:rPr>
        <w:t> </w:t>
      </w:r>
      <w:r>
        <w:rPr>
          <w:rFonts w:hint="default" w:ascii="雅黑" w:hAnsi="雅黑" w:eastAsia="雅黑" w:cs="雅黑"/>
          <w:i w:val="0"/>
          <w:caps w:val="0"/>
          <w:color w:val="666666"/>
          <w:spacing w:val="0"/>
          <w:kern w:val="0"/>
          <w:sz w:val="21"/>
          <w:szCs w:val="21"/>
          <w:u w:val="none"/>
          <w:bdr w:val="none" w:color="auto" w:sz="0" w:space="0"/>
          <w:lang w:val="en-US" w:eastAsia="zh-CN" w:bidi="ar"/>
        </w:rPr>
        <w:fldChar w:fldCharType="begin"/>
      </w:r>
      <w:r>
        <w:rPr>
          <w:rFonts w:hint="default" w:ascii="雅黑" w:hAnsi="雅黑" w:eastAsia="雅黑" w:cs="雅黑"/>
          <w:i w:val="0"/>
          <w:caps w:val="0"/>
          <w:color w:val="666666"/>
          <w:spacing w:val="0"/>
          <w:kern w:val="0"/>
          <w:sz w:val="21"/>
          <w:szCs w:val="21"/>
          <w:u w:val="none"/>
          <w:bdr w:val="none" w:color="auto" w:sz="0" w:space="0"/>
          <w:lang w:val="en-US" w:eastAsia="zh-CN" w:bidi="ar"/>
        </w:rPr>
        <w:instrText xml:space="preserve"> HYPERLINK "http://new.tangshan.gov.cn/zhengwu/zw_fagaiweitzgg/20191009/954179.html" </w:instrText>
      </w:r>
      <w:r>
        <w:rPr>
          <w:rFonts w:hint="default" w:ascii="雅黑" w:hAnsi="雅黑" w:eastAsia="雅黑" w:cs="雅黑"/>
          <w:i w:val="0"/>
          <w:caps w:val="0"/>
          <w:color w:val="666666"/>
          <w:spacing w:val="0"/>
          <w:kern w:val="0"/>
          <w:sz w:val="21"/>
          <w:szCs w:val="21"/>
          <w:u w:val="none"/>
          <w:bdr w:val="none" w:color="auto" w:sz="0" w:space="0"/>
          <w:lang w:val="en-US" w:eastAsia="zh-CN" w:bidi="ar"/>
        </w:rPr>
        <w:fldChar w:fldCharType="separate"/>
      </w:r>
      <w:r>
        <w:rPr>
          <w:rStyle w:val="5"/>
          <w:rFonts w:hint="default" w:ascii="雅黑" w:hAnsi="雅黑" w:eastAsia="雅黑" w:cs="雅黑"/>
          <w:i w:val="0"/>
          <w:caps w:val="0"/>
          <w:color w:val="666666"/>
          <w:spacing w:val="0"/>
          <w:sz w:val="21"/>
          <w:szCs w:val="21"/>
          <w:u w:val="none"/>
          <w:bdr w:val="none" w:color="auto" w:sz="0" w:space="0"/>
        </w:rPr>
        <w:t>小</w:t>
      </w:r>
      <w:r>
        <w:rPr>
          <w:rFonts w:hint="default" w:ascii="雅黑" w:hAnsi="雅黑" w:eastAsia="雅黑" w:cs="雅黑"/>
          <w:i w:val="0"/>
          <w:caps w:val="0"/>
          <w:color w:val="666666"/>
          <w:spacing w:val="0"/>
          <w:kern w:val="0"/>
          <w:sz w:val="21"/>
          <w:szCs w:val="21"/>
          <w:u w:val="none"/>
          <w:bdr w:val="none" w:color="auto" w:sz="0" w:space="0"/>
          <w:lang w:val="en-US" w:eastAsia="zh-CN" w:bidi="ar"/>
        </w:rPr>
        <w:fldChar w:fldCharType="end"/>
      </w:r>
      <w:r>
        <w:rPr>
          <w:rFonts w:hint="default" w:ascii="雅黑" w:hAnsi="雅黑" w:eastAsia="雅黑" w:cs="雅黑"/>
          <w:i w:val="0"/>
          <w:caps w:val="0"/>
          <w:color w:val="666666"/>
          <w:spacing w:val="0"/>
          <w:kern w:val="0"/>
          <w:sz w:val="21"/>
          <w:szCs w:val="21"/>
          <w:bdr w:val="none" w:color="auto" w:sz="0" w:space="0"/>
          <w:lang w:val="en-US" w:eastAsia="zh-CN" w:bidi="ar"/>
        </w:rPr>
        <w:t>】    </w:t>
      </w:r>
      <w:r>
        <w:rPr>
          <w:rFonts w:hint="default" w:ascii="雅黑" w:hAnsi="雅黑" w:eastAsia="雅黑" w:cs="雅黑"/>
          <w:i w:val="0"/>
          <w:caps w:val="0"/>
          <w:color w:val="666666"/>
          <w:spacing w:val="0"/>
          <w:kern w:val="0"/>
          <w:sz w:val="18"/>
          <w:szCs w:val="18"/>
          <w:bdr w:val="none" w:color="auto" w:sz="0" w:space="0"/>
          <w:lang w:val="en-US" w:eastAsia="zh-CN" w:bidi="ar"/>
        </w:rPr>
        <w:drawing>
          <wp:inline distT="0" distB="0" distL="114300" distR="114300">
            <wp:extent cx="190500" cy="1619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61925"/>
                    </a:xfrm>
                    <a:prstGeom prst="rect">
                      <a:avLst/>
                    </a:prstGeom>
                    <a:noFill/>
                    <a:ln w="9525">
                      <a:noFill/>
                    </a:ln>
                  </pic:spPr>
                </pic:pic>
              </a:graphicData>
            </a:graphic>
          </wp:inline>
        </w:drawing>
      </w:r>
      <w:r>
        <w:rPr>
          <w:rFonts w:hint="default" w:ascii="雅黑" w:hAnsi="雅黑" w:eastAsia="雅黑" w:cs="雅黑"/>
          <w:i w:val="0"/>
          <w:caps w:val="0"/>
          <w:color w:val="666666"/>
          <w:spacing w:val="0"/>
          <w:kern w:val="0"/>
          <w:sz w:val="21"/>
          <w:szCs w:val="21"/>
          <w:bdr w:val="none" w:color="auto" w:sz="0" w:space="0"/>
          <w:lang w:val="en-US" w:eastAsia="zh-CN" w:bidi="ar"/>
        </w:rPr>
        <w:t> </w:t>
      </w:r>
      <w:r>
        <w:rPr>
          <w:rFonts w:hint="default" w:ascii="雅黑" w:hAnsi="雅黑" w:eastAsia="雅黑" w:cs="雅黑"/>
          <w:i w:val="0"/>
          <w:caps w:val="0"/>
          <w:color w:val="666666"/>
          <w:spacing w:val="0"/>
          <w:kern w:val="0"/>
          <w:sz w:val="18"/>
          <w:szCs w:val="18"/>
          <w:u w:val="none"/>
          <w:bdr w:val="none" w:color="auto" w:sz="0" w:space="0"/>
          <w:lang w:val="en-US" w:eastAsia="zh-CN" w:bidi="ar"/>
        </w:rPr>
        <w:fldChar w:fldCharType="begin"/>
      </w:r>
      <w:r>
        <w:rPr>
          <w:rFonts w:hint="default" w:ascii="雅黑" w:hAnsi="雅黑" w:eastAsia="雅黑" w:cs="雅黑"/>
          <w:i w:val="0"/>
          <w:caps w:val="0"/>
          <w:color w:val="666666"/>
          <w:spacing w:val="0"/>
          <w:kern w:val="0"/>
          <w:sz w:val="18"/>
          <w:szCs w:val="18"/>
          <w:u w:val="none"/>
          <w:bdr w:val="none" w:color="auto" w:sz="0" w:space="0"/>
          <w:lang w:val="en-US" w:eastAsia="zh-CN" w:bidi="ar"/>
        </w:rPr>
        <w:instrText xml:space="preserve"> HYPERLINK "http://new.tangshan.gov.cn/zhengwu/zw_fagaiweitzgg/20191009/javascript:printme()" </w:instrText>
      </w:r>
      <w:r>
        <w:rPr>
          <w:rFonts w:hint="default" w:ascii="雅黑" w:hAnsi="雅黑" w:eastAsia="雅黑" w:cs="雅黑"/>
          <w:i w:val="0"/>
          <w:caps w:val="0"/>
          <w:color w:val="666666"/>
          <w:spacing w:val="0"/>
          <w:kern w:val="0"/>
          <w:sz w:val="18"/>
          <w:szCs w:val="18"/>
          <w:u w:val="none"/>
          <w:bdr w:val="none" w:color="auto" w:sz="0" w:space="0"/>
          <w:lang w:val="en-US" w:eastAsia="zh-CN" w:bidi="ar"/>
        </w:rPr>
        <w:fldChar w:fldCharType="separate"/>
      </w:r>
      <w:r>
        <w:rPr>
          <w:rStyle w:val="5"/>
          <w:rFonts w:hint="default" w:ascii="雅黑" w:hAnsi="雅黑" w:eastAsia="雅黑" w:cs="雅黑"/>
          <w:i w:val="0"/>
          <w:caps w:val="0"/>
          <w:color w:val="666666"/>
          <w:spacing w:val="0"/>
          <w:sz w:val="18"/>
          <w:szCs w:val="18"/>
          <w:u w:val="none"/>
          <w:bdr w:val="none" w:color="auto" w:sz="0" w:space="0"/>
        </w:rPr>
        <w:t>打印</w:t>
      </w:r>
      <w:r>
        <w:rPr>
          <w:rFonts w:hint="default" w:ascii="雅黑" w:hAnsi="雅黑" w:eastAsia="雅黑" w:cs="雅黑"/>
          <w:i w:val="0"/>
          <w:caps w:val="0"/>
          <w:color w:val="666666"/>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各县(市、区)发改局(粮食和物资储备局)：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按照《国家发展改革委关于做好2020年中央预算内投资计划草案编制工作的通知》和省《关于做好2020年粮食安全保障调控和应急设施项目申报工作的通知》要求，为做好2020年粮食安全保障调控和应急设施项目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一、申报项目类型。(一)粮食现代物流项目，包括铁路散粮运输系统工程、港口散粮运输提升工程、粮食物流(产业)园区项目;(二)应急配送中心项目、粮食物流公共信息平台项目;(三)一般物流项目，如没有铁路专用线或散粮码头，但粮食年中转量达到30万吨以上，也可统一按“粮食物流项目”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二、编制项目单行材料。申报项目需编写单行材料，包括以下主要内容：项目单位基本情况、现有设施及运营情况、存在的主要问题、建设的必要性、建设内容和规模、建设地点和经纬度坐标、总投资及资金构成、前期工作落实情况及相关声明文件(项目单位对申报材料真实性、合规性负责以及申报项目未使用其他中央财政性资金的声明)等。单行材料需附规范的总平面图(不得以示意图代替，不得将总平面图拍照报送，图幅大小应能看清楚)，详细标明现有设施、拟建设施的规模及指标(须符合国家颁布实施的建设标准和技术规范)，以及分子项的投资估算表。对于建设规模和总投资特别大的项目，可考虑分期实施，以防范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三、工作要求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一)认真筛选项目。鼓励、支持发展位于重要节点的大型综合性粮食物流枢纽项目，请各县(市、区)加强项目筛选，报送一批重大项目。为避免国家和地方核算的相关设施投资相差过大，请各县(市、区)从源头上把好关，提前落实项目前期手续、建设资金等，确保通过初审项目均能顺利实施。如出现虚报大项目等问题，将相应核减资金规模，并在粮食安全责任制考核中扣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二)严格审核建设条件。各县(市、区)在组织申报前，要对申报项目逐一进行实地考察，并对相关建设手续进行初步审核，要确保拟安排项目取得依法依规应当办理的相关手续、建设资金已基本落实、具备开工条件，脱离地方实际、建设条件及资金不落实的不得申报，避免出现项目通过初审后因建设条件不落实等原因无法安排或安排后无法按规定时限开工等问题，切实防范地方债务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三)严格把关单行材料。各县(市、区)应要求项目单位提高单行材料质量，并对项目建设内容、建设规模、总投资、资金来源等严格审核。在组织编制项目单行材料时，可请相关专家提前进行审核把关，防止出现项目不实、相关手续不全、投资估算虚高等问题。单行材料附件及相关声明文件不齐的，不再接受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雅黑" w:hAnsi="雅黑" w:eastAsia="雅黑" w:cs="雅黑"/>
          <w:color w:val="333333"/>
          <w:sz w:val="24"/>
          <w:szCs w:val="24"/>
        </w:rPr>
      </w:pPr>
      <w:r>
        <w:rPr>
          <w:rFonts w:hint="default" w:ascii="雅黑" w:hAnsi="雅黑" w:eastAsia="雅黑" w:cs="雅黑"/>
          <w:i w:val="0"/>
          <w:caps w:val="0"/>
          <w:color w:val="333333"/>
          <w:spacing w:val="0"/>
          <w:sz w:val="24"/>
          <w:szCs w:val="24"/>
          <w:bdr w:val="none" w:color="auto" w:sz="0" w:space="0"/>
        </w:rPr>
        <w:t>四、申报时间。请按照上述要求，务于10月15日前将2020年项目汇总表及项目单行材料一式五份报送至市发改委服务业处(电子版发送至jmc2822052@126.com)，并在重大项目库中储备相应的项目，如无项目申报，亦请书面盖章反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35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SAMSUNG</dc:creator>
  <cp:lastModifiedBy>褚慧涛 养生堂13032699579</cp:lastModifiedBy>
  <dcterms:modified xsi:type="dcterms:W3CDTF">2021-02-09T06:01:31Z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